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08" w:rsidRDefault="00D07708" w:rsidP="00D07708">
      <w:pPr>
        <w:pStyle w:val="PreliminaryBookmarks"/>
      </w:pPr>
      <w:r>
        <w:t>Title Page</w:t>
      </w: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  <w:r>
        <w:t xml:space="preserve">Copyright © by </w:t>
      </w:r>
      <w:r w:rsidR="00F24A51" w:rsidRPr="00F24A51">
        <w:t>Author’s Full Name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4F0846" w:rsidRDefault="004F0846" w:rsidP="00486073">
      <w:pPr>
        <w:spacing w:line="240" w:lineRule="auto"/>
        <w:ind w:firstLine="0"/>
        <w:jc w:val="center"/>
      </w:pPr>
      <w:r>
        <w:t>Year</w:t>
      </w:r>
      <w:bookmarkStart w:id="0" w:name="_GoBack"/>
      <w:bookmarkEnd w:id="0"/>
    </w:p>
    <w:sectPr w:rsidR="004F0846" w:rsidSect="00C8191A">
      <w:footerReference w:type="default" r:id="rId8"/>
      <w:type w:val="continuous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4" w:rsidRDefault="004D7AA4" w:rsidP="006B1124">
    <w:pPr>
      <w:tabs>
        <w:tab w:val="center" w:pos="4680"/>
      </w:tabs>
      <w:ind w:firstLine="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C766B">
      <w:rPr>
        <w:noProof/>
      </w:rPr>
      <w:t>i</w:t>
    </w:r>
    <w:r>
      <w:fldChar w:fldCharType="end"/>
    </w:r>
    <w:r w:rsidR="002F345D"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C766B"/>
    <w:rsid w:val="002D01B1"/>
    <w:rsid w:val="002D11E0"/>
    <w:rsid w:val="002E4056"/>
    <w:rsid w:val="002F1CAE"/>
    <w:rsid w:val="002F345D"/>
    <w:rsid w:val="003003F4"/>
    <w:rsid w:val="0030592B"/>
    <w:rsid w:val="00307A4C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81675D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8191A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12661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30F17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42F1-B752-4167-84C1-D24891C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3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72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Pegher, Joanne</cp:lastModifiedBy>
  <cp:revision>6</cp:revision>
  <cp:lastPrinted>2005-09-30T13:41:00Z</cp:lastPrinted>
  <dcterms:created xsi:type="dcterms:W3CDTF">2019-09-13T16:28:00Z</dcterms:created>
  <dcterms:modified xsi:type="dcterms:W3CDTF">2019-09-13T16:31:00Z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